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32CB9858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79024E">
        <w:rPr>
          <w:b/>
          <w:bCs/>
          <w:sz w:val="40"/>
          <w:szCs w:val="40"/>
          <w:u w:val="single"/>
        </w:rPr>
        <w:t>316</w:t>
      </w:r>
    </w:p>
    <w:p w14:paraId="3B0DC9E1" w14:textId="77777777" w:rsidR="00290169" w:rsidRDefault="00290169" w:rsidP="00290169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Pr="00163420">
        <w:rPr>
          <w:b/>
          <w:bCs/>
          <w:sz w:val="36"/>
          <w:szCs w:val="36"/>
        </w:rPr>
        <w:t xml:space="preserve">в электронной форме </w:t>
      </w:r>
      <w:r w:rsidRPr="00E53B9A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живыми цветами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16588BDD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E11826">
        <w:rPr>
          <w:sz w:val="20"/>
        </w:rPr>
        <w:t>5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DCF3FC2" w14:textId="77777777" w:rsidR="0079024E" w:rsidRPr="0079024E" w:rsidRDefault="0079024E" w:rsidP="0079024E">
            <w:pPr>
              <w:rPr>
                <w:b/>
                <w:sz w:val="20"/>
                <w:szCs w:val="20"/>
              </w:rPr>
            </w:pPr>
            <w:r w:rsidRPr="0079024E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12CDEFB0" w14:textId="77777777" w:rsidR="0079024E" w:rsidRPr="0079024E" w:rsidRDefault="0079024E" w:rsidP="0079024E">
            <w:pPr>
              <w:jc w:val="both"/>
              <w:rPr>
                <w:b/>
                <w:sz w:val="20"/>
                <w:szCs w:val="20"/>
              </w:rPr>
            </w:pPr>
            <w:r w:rsidRPr="0079024E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Туполева, у д. </w:t>
            </w:r>
            <w:proofErr w:type="gramStart"/>
            <w:r w:rsidRPr="0079024E">
              <w:rPr>
                <w:b/>
                <w:sz w:val="20"/>
                <w:szCs w:val="20"/>
              </w:rPr>
              <w:t>111</w:t>
            </w:r>
            <w:proofErr w:type="gramEnd"/>
            <w:r w:rsidRPr="0079024E">
              <w:rPr>
                <w:b/>
                <w:sz w:val="20"/>
                <w:szCs w:val="20"/>
              </w:rPr>
              <w:t xml:space="preserve"> а</w:t>
            </w:r>
          </w:p>
          <w:tbl>
            <w:tblPr>
              <w:tblW w:w="8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1"/>
              <w:gridCol w:w="4246"/>
            </w:tblGrid>
            <w:tr w:rsidR="0079024E" w:rsidRPr="0079024E" w14:paraId="28FA51AC" w14:textId="77777777" w:rsidTr="0079024E">
              <w:trPr>
                <w:trHeight w:val="193"/>
              </w:trPr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0F04F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FB11B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79024E" w:rsidRPr="0079024E" w14:paraId="5EF2E60F" w14:textId="77777777" w:rsidTr="0079024E">
              <w:trPr>
                <w:trHeight w:val="60"/>
              </w:trPr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BF1E7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1BEA29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79024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9024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79024E" w:rsidRPr="0079024E" w14:paraId="5E539716" w14:textId="77777777" w:rsidTr="0079024E">
              <w:trPr>
                <w:trHeight w:val="1503"/>
              </w:trPr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70AC03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83AB69" w14:textId="77777777" w:rsidR="0079024E" w:rsidRPr="0079024E" w:rsidRDefault="0079024E" w:rsidP="0079024E">
                  <w:pPr>
                    <w:jc w:val="both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 город Тверь, ул. Туполева, у д. </w:t>
                  </w:r>
                  <w:proofErr w:type="gramStart"/>
                  <w:r w:rsidRPr="0079024E">
                    <w:rPr>
                      <w:sz w:val="20"/>
                      <w:szCs w:val="20"/>
                    </w:rPr>
                    <w:t>111</w:t>
                  </w:r>
                  <w:proofErr w:type="gramEnd"/>
                  <w:r w:rsidRPr="0079024E">
                    <w:rPr>
                      <w:sz w:val="20"/>
                      <w:szCs w:val="20"/>
                    </w:rPr>
                    <w:t xml:space="preserve"> а (строка 30,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79024E" w:rsidRPr="0079024E" w14:paraId="6AF7A39E" w14:textId="77777777" w:rsidTr="0079024E">
              <w:trPr>
                <w:trHeight w:val="220"/>
              </w:trPr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80CD2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70A85C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79024E" w:rsidRPr="0079024E" w14:paraId="66A0F739" w14:textId="77777777" w:rsidTr="0079024E">
              <w:trPr>
                <w:trHeight w:val="345"/>
              </w:trPr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4CC834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A94AA2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79024E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79024E" w:rsidRPr="0079024E" w14:paraId="2CB3A209" w14:textId="77777777" w:rsidTr="0079024E">
              <w:trPr>
                <w:trHeight w:val="186"/>
              </w:trPr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945C2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60D93" w14:textId="77777777" w:rsidR="0079024E" w:rsidRPr="0079024E" w:rsidRDefault="0079024E" w:rsidP="0079024E">
                  <w:pPr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79024E" w:rsidRPr="0079024E" w14:paraId="664A43E6" w14:textId="77777777" w:rsidTr="0079024E">
              <w:trPr>
                <w:trHeight w:val="190"/>
              </w:trPr>
              <w:tc>
                <w:tcPr>
                  <w:tcW w:w="4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5C00C0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5722F" w14:textId="77777777" w:rsidR="0079024E" w:rsidRPr="0079024E" w:rsidRDefault="0079024E" w:rsidP="0079024E">
                  <w:pPr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</w:tbl>
          <w:p w14:paraId="2608EEF9" w14:textId="77777777" w:rsidR="0079024E" w:rsidRPr="0079024E" w:rsidRDefault="0079024E" w:rsidP="0079024E">
            <w:pPr>
              <w:rPr>
                <w:b/>
                <w:sz w:val="20"/>
                <w:szCs w:val="20"/>
              </w:rPr>
            </w:pPr>
            <w:r w:rsidRPr="0079024E">
              <w:rPr>
                <w:b/>
                <w:sz w:val="20"/>
                <w:szCs w:val="20"/>
              </w:rPr>
              <w:t>ЛОТ № 2</w:t>
            </w:r>
          </w:p>
          <w:p w14:paraId="3FC484CC" w14:textId="77777777" w:rsidR="0079024E" w:rsidRPr="0079024E" w:rsidRDefault="0079024E" w:rsidP="0079024E">
            <w:pPr>
              <w:jc w:val="both"/>
              <w:rPr>
                <w:b/>
                <w:sz w:val="20"/>
                <w:szCs w:val="20"/>
              </w:rPr>
            </w:pPr>
            <w:r w:rsidRPr="0079024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Хрустальная, у д. 8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4228"/>
            </w:tblGrid>
            <w:tr w:rsidR="0079024E" w:rsidRPr="0079024E" w14:paraId="267CC2D2" w14:textId="77777777" w:rsidTr="0079024E">
              <w:trPr>
                <w:trHeight w:val="195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2764BE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50B6AD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79024E" w:rsidRPr="0079024E" w14:paraId="13999764" w14:textId="77777777" w:rsidTr="0079024E">
              <w:trPr>
                <w:trHeight w:val="195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4AC011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B7147C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12 </w:t>
                  </w:r>
                  <w:proofErr w:type="spellStart"/>
                  <w:r w:rsidRPr="0079024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9024E">
                    <w:rPr>
                      <w:sz w:val="20"/>
                      <w:szCs w:val="20"/>
                    </w:rPr>
                    <w:t xml:space="preserve">. – 2 места (6 </w:t>
                  </w:r>
                  <w:proofErr w:type="spellStart"/>
                  <w:r w:rsidRPr="0079024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9024E">
                    <w:rPr>
                      <w:sz w:val="20"/>
                      <w:szCs w:val="20"/>
                    </w:rPr>
                    <w:t>. – 1 место)</w:t>
                  </w:r>
                </w:p>
              </w:tc>
            </w:tr>
            <w:tr w:rsidR="0079024E" w:rsidRPr="0079024E" w14:paraId="26A1179F" w14:textId="77777777" w:rsidTr="0079024E">
              <w:trPr>
                <w:trHeight w:val="1595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518F9A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FECA3C" w14:textId="77777777" w:rsidR="0079024E" w:rsidRPr="0079024E" w:rsidRDefault="0079024E" w:rsidP="0079024E">
                  <w:pPr>
                    <w:jc w:val="both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 город Тверь, ул. Хрустальная, у д. 8 (строка 31 (объекты № 1, № 2),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79024E" w:rsidRPr="0079024E" w14:paraId="5BCFF006" w14:textId="77777777" w:rsidTr="0079024E">
              <w:trPr>
                <w:trHeight w:val="195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3EE9B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B5717F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79024E" w:rsidRPr="0079024E" w14:paraId="722A9952" w14:textId="77777777" w:rsidTr="0079024E">
              <w:trPr>
                <w:trHeight w:val="195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37FCAE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E58BA2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79024E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79024E" w:rsidRPr="0079024E" w14:paraId="3053E0B2" w14:textId="77777777" w:rsidTr="0079024E">
              <w:trPr>
                <w:trHeight w:val="206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48C5F7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F7336" w14:textId="77777777" w:rsidR="0079024E" w:rsidRPr="0079024E" w:rsidRDefault="0079024E" w:rsidP="0079024E">
                  <w:pPr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  <w:tr w:rsidR="0079024E" w:rsidRPr="0079024E" w14:paraId="1F6E7AC6" w14:textId="77777777" w:rsidTr="0079024E">
              <w:trPr>
                <w:trHeight w:val="195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DFCCBB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DE106" w14:textId="77777777" w:rsidR="0079024E" w:rsidRPr="0079024E" w:rsidRDefault="0079024E" w:rsidP="0079024E">
                  <w:pPr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</w:tbl>
          <w:p w14:paraId="095BFE15" w14:textId="77777777" w:rsidR="0079024E" w:rsidRPr="0079024E" w:rsidRDefault="0079024E" w:rsidP="0079024E">
            <w:pPr>
              <w:rPr>
                <w:b/>
                <w:sz w:val="20"/>
                <w:szCs w:val="20"/>
              </w:rPr>
            </w:pPr>
            <w:r w:rsidRPr="0079024E">
              <w:rPr>
                <w:b/>
                <w:sz w:val="20"/>
                <w:szCs w:val="20"/>
              </w:rPr>
              <w:t>ЛОТ № 3</w:t>
            </w:r>
          </w:p>
          <w:p w14:paraId="292F2EB1" w14:textId="77777777" w:rsidR="0079024E" w:rsidRPr="0079024E" w:rsidRDefault="0079024E" w:rsidP="0079024E">
            <w:pPr>
              <w:jc w:val="both"/>
              <w:rPr>
                <w:b/>
                <w:sz w:val="20"/>
                <w:szCs w:val="20"/>
              </w:rPr>
            </w:pPr>
            <w:r w:rsidRPr="0079024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Хрустальная, у д. 8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4228"/>
            </w:tblGrid>
            <w:tr w:rsidR="0079024E" w:rsidRPr="0079024E" w14:paraId="09A8194E" w14:textId="77777777" w:rsidTr="0079024E">
              <w:trPr>
                <w:trHeight w:val="194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1F0595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25F155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79024E" w:rsidRPr="0079024E" w14:paraId="28962203" w14:textId="77777777" w:rsidTr="0079024E">
              <w:trPr>
                <w:trHeight w:val="194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DF8D7F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3F18A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12 </w:t>
                  </w:r>
                  <w:proofErr w:type="spellStart"/>
                  <w:r w:rsidRPr="0079024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9024E">
                    <w:rPr>
                      <w:sz w:val="20"/>
                      <w:szCs w:val="20"/>
                    </w:rPr>
                    <w:t xml:space="preserve">. – 2 места (6 </w:t>
                  </w:r>
                  <w:proofErr w:type="spellStart"/>
                  <w:r w:rsidRPr="0079024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9024E">
                    <w:rPr>
                      <w:sz w:val="20"/>
                      <w:szCs w:val="20"/>
                    </w:rPr>
                    <w:t>. – 1 место)</w:t>
                  </w:r>
                </w:p>
              </w:tc>
            </w:tr>
            <w:tr w:rsidR="0079024E" w:rsidRPr="0079024E" w14:paraId="02DE19A4" w14:textId="77777777" w:rsidTr="0079024E">
              <w:trPr>
                <w:trHeight w:val="1588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A38FB4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CB239" w14:textId="77777777" w:rsidR="0079024E" w:rsidRPr="0079024E" w:rsidRDefault="0079024E" w:rsidP="0079024E">
                  <w:pPr>
                    <w:jc w:val="both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 город Тверь, ул. Хрустальная, у д. 8 (строка 31 (объекты № 3, № 4),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79024E" w:rsidRPr="0079024E" w14:paraId="43A9C33D" w14:textId="77777777" w:rsidTr="0079024E">
              <w:trPr>
                <w:trHeight w:val="194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8A4F78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176C7C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79024E" w:rsidRPr="0079024E" w14:paraId="62F9BBEE" w14:textId="77777777" w:rsidTr="0079024E">
              <w:trPr>
                <w:trHeight w:val="194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B3CE1B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6BE92" w14:textId="77777777" w:rsidR="0079024E" w:rsidRPr="0079024E" w:rsidRDefault="0079024E" w:rsidP="0079024E">
                  <w:pPr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79024E" w:rsidRPr="0079024E" w14:paraId="0F841A9E" w14:textId="77777777" w:rsidTr="0079024E">
              <w:trPr>
                <w:trHeight w:val="205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AB91F3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ACDC0" w14:textId="77777777" w:rsidR="0079024E" w:rsidRPr="0079024E" w:rsidRDefault="0079024E" w:rsidP="0079024E">
                  <w:pPr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  <w:tr w:rsidR="0079024E" w:rsidRPr="0079024E" w14:paraId="08792407" w14:textId="77777777" w:rsidTr="0079024E">
              <w:trPr>
                <w:trHeight w:val="194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FDC709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9817A" w14:textId="77777777" w:rsidR="0079024E" w:rsidRPr="0079024E" w:rsidRDefault="0079024E" w:rsidP="0079024E">
                  <w:pPr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</w:tbl>
          <w:p w14:paraId="6D238B24" w14:textId="77777777" w:rsidR="0079024E" w:rsidRPr="0079024E" w:rsidRDefault="0079024E" w:rsidP="0079024E">
            <w:pPr>
              <w:rPr>
                <w:b/>
                <w:sz w:val="20"/>
                <w:szCs w:val="20"/>
              </w:rPr>
            </w:pPr>
            <w:r w:rsidRPr="0079024E">
              <w:rPr>
                <w:b/>
                <w:sz w:val="20"/>
                <w:szCs w:val="20"/>
              </w:rPr>
              <w:t>ЛОТ № 4</w:t>
            </w:r>
          </w:p>
          <w:p w14:paraId="079DCD0E" w14:textId="77777777" w:rsidR="0079024E" w:rsidRPr="0079024E" w:rsidRDefault="0079024E" w:rsidP="0079024E">
            <w:pPr>
              <w:jc w:val="both"/>
              <w:rPr>
                <w:b/>
                <w:sz w:val="20"/>
                <w:szCs w:val="20"/>
              </w:rPr>
            </w:pPr>
            <w:r w:rsidRPr="0079024E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бул. Молодежный, напротив д. 4, к. 1        </w:t>
            </w:r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4234"/>
            </w:tblGrid>
            <w:tr w:rsidR="0079024E" w:rsidRPr="0079024E" w14:paraId="4DD03C0A" w14:textId="77777777" w:rsidTr="0079024E">
              <w:trPr>
                <w:trHeight w:val="270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057FE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CC972C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79024E" w:rsidRPr="0079024E" w14:paraId="6A66664D" w14:textId="77777777" w:rsidTr="0079024E">
              <w:trPr>
                <w:trHeight w:val="285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9C294B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lastRenderedPageBreak/>
                    <w:t>Площадь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E8FE09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79024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9024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79024E" w:rsidRPr="0079024E" w14:paraId="5F0CD667" w14:textId="77777777" w:rsidTr="0079024E">
              <w:trPr>
                <w:trHeight w:val="2212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F794D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D7D4D" w14:textId="77777777" w:rsidR="0079024E" w:rsidRPr="0079024E" w:rsidRDefault="0079024E" w:rsidP="0079024E">
                  <w:pPr>
                    <w:jc w:val="both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город Тверь, бул. Молодежный, напротив д. 4, к. 1     </w:t>
                  </w:r>
                  <w:proofErr w:type="gramStart"/>
                  <w:r w:rsidRPr="0079024E">
                    <w:rPr>
                      <w:sz w:val="20"/>
                      <w:szCs w:val="20"/>
                    </w:rPr>
                    <w:t xml:space="preserve">   (</w:t>
                  </w:r>
                  <w:proofErr w:type="gramEnd"/>
                  <w:r w:rsidRPr="0079024E">
                    <w:rPr>
                      <w:sz w:val="20"/>
                      <w:szCs w:val="20"/>
                    </w:rPr>
                    <w:t>строка 23 (объект № 1),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79024E" w:rsidRPr="0079024E" w14:paraId="6707D59D" w14:textId="77777777" w:rsidTr="0079024E">
              <w:trPr>
                <w:trHeight w:val="270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8A08AF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7BDE30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79024E" w:rsidRPr="0079024E" w14:paraId="0CEC1C55" w14:textId="77777777" w:rsidTr="0079024E">
              <w:trPr>
                <w:trHeight w:val="270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9AE3BE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FC597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79024E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79024E" w:rsidRPr="0079024E" w14:paraId="46167CFB" w14:textId="77777777" w:rsidTr="0079024E">
              <w:trPr>
                <w:trHeight w:val="270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07A0B3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CD93C" w14:textId="77777777" w:rsidR="0079024E" w:rsidRPr="0079024E" w:rsidRDefault="0079024E" w:rsidP="0079024E">
                  <w:pPr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79024E" w:rsidRPr="0079024E" w14:paraId="283FB1D3" w14:textId="77777777" w:rsidTr="0079024E">
              <w:trPr>
                <w:trHeight w:val="270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C58D23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45D65" w14:textId="77777777" w:rsidR="0079024E" w:rsidRPr="0079024E" w:rsidRDefault="0079024E" w:rsidP="0079024E">
                  <w:pPr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</w:tbl>
          <w:p w14:paraId="42DD4369" w14:textId="77777777" w:rsidR="0079024E" w:rsidRPr="0079024E" w:rsidRDefault="0079024E" w:rsidP="0079024E">
            <w:pPr>
              <w:rPr>
                <w:b/>
                <w:sz w:val="20"/>
                <w:szCs w:val="20"/>
              </w:rPr>
            </w:pPr>
            <w:r w:rsidRPr="0079024E">
              <w:rPr>
                <w:b/>
                <w:sz w:val="20"/>
                <w:szCs w:val="20"/>
              </w:rPr>
              <w:t>ЛОТ № 5</w:t>
            </w:r>
          </w:p>
          <w:p w14:paraId="3D6FF1EE" w14:textId="77777777" w:rsidR="0079024E" w:rsidRPr="0079024E" w:rsidRDefault="0079024E" w:rsidP="0079024E">
            <w:pPr>
              <w:jc w:val="both"/>
              <w:rPr>
                <w:b/>
                <w:sz w:val="20"/>
                <w:szCs w:val="20"/>
              </w:rPr>
            </w:pPr>
            <w:r w:rsidRPr="0079024E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бул. Молодежный, напротив д. 4, к. 1        </w:t>
            </w:r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4234"/>
            </w:tblGrid>
            <w:tr w:rsidR="0079024E" w:rsidRPr="0079024E" w14:paraId="77E269E7" w14:textId="77777777" w:rsidTr="0079024E">
              <w:trPr>
                <w:trHeight w:val="181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A108B0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6F784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79024E" w:rsidRPr="0079024E" w14:paraId="469656EB" w14:textId="77777777" w:rsidTr="0079024E">
              <w:trPr>
                <w:trHeight w:val="181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05B2C9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A8AA34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79024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9024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79024E" w:rsidRPr="0079024E" w14:paraId="6F9A3A77" w14:textId="77777777" w:rsidTr="0079024E">
              <w:trPr>
                <w:trHeight w:val="1483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9160E5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3EFDC5" w14:textId="77777777" w:rsidR="0079024E" w:rsidRPr="0079024E" w:rsidRDefault="0079024E" w:rsidP="0079024E">
                  <w:pPr>
                    <w:jc w:val="both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город Тверь, бул. Молодежный, напротив д. 4, к. 1     </w:t>
                  </w:r>
                  <w:proofErr w:type="gramStart"/>
                  <w:r w:rsidRPr="0079024E">
                    <w:rPr>
                      <w:sz w:val="20"/>
                      <w:szCs w:val="20"/>
                    </w:rPr>
                    <w:t xml:space="preserve">   (</w:t>
                  </w:r>
                  <w:proofErr w:type="gramEnd"/>
                  <w:r w:rsidRPr="0079024E">
                    <w:rPr>
                      <w:sz w:val="20"/>
                      <w:szCs w:val="20"/>
                    </w:rPr>
                    <w:t>строка 23 (объект № 2),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79024E" w:rsidRPr="0079024E" w14:paraId="35079FEB" w14:textId="77777777" w:rsidTr="0079024E">
              <w:trPr>
                <w:trHeight w:val="181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C1E783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B3EDE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79024E" w:rsidRPr="0079024E" w14:paraId="7DACFDAC" w14:textId="77777777" w:rsidTr="0079024E">
              <w:trPr>
                <w:trHeight w:val="181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EC8FA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0C0B1" w14:textId="77777777" w:rsidR="0079024E" w:rsidRPr="0079024E" w:rsidRDefault="0079024E" w:rsidP="0079024E">
                  <w:pPr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79024E" w:rsidRPr="0079024E" w14:paraId="680134D4" w14:textId="77777777" w:rsidTr="0079024E">
              <w:trPr>
                <w:trHeight w:val="191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8C9DBD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C3CB1" w14:textId="77777777" w:rsidR="0079024E" w:rsidRPr="0079024E" w:rsidRDefault="0079024E" w:rsidP="0079024E">
                  <w:pPr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79024E" w:rsidRPr="0079024E" w14:paraId="58EF8FD3" w14:textId="77777777" w:rsidTr="0079024E">
              <w:trPr>
                <w:trHeight w:val="181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54A3C0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AC474" w14:textId="77777777" w:rsidR="0079024E" w:rsidRPr="0079024E" w:rsidRDefault="0079024E" w:rsidP="0079024E">
                  <w:pPr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</w:tbl>
          <w:p w14:paraId="75AA937A" w14:textId="77777777" w:rsidR="0079024E" w:rsidRPr="0079024E" w:rsidRDefault="0079024E" w:rsidP="0079024E">
            <w:pPr>
              <w:rPr>
                <w:b/>
                <w:sz w:val="20"/>
                <w:szCs w:val="20"/>
              </w:rPr>
            </w:pPr>
            <w:r w:rsidRPr="0079024E">
              <w:rPr>
                <w:b/>
                <w:sz w:val="20"/>
                <w:szCs w:val="20"/>
              </w:rPr>
              <w:t>ЛОТ № 6</w:t>
            </w:r>
          </w:p>
          <w:p w14:paraId="2BE8A9D4" w14:textId="77777777" w:rsidR="0079024E" w:rsidRPr="0079024E" w:rsidRDefault="0079024E" w:rsidP="0079024E">
            <w:pPr>
              <w:jc w:val="both"/>
              <w:rPr>
                <w:b/>
                <w:sz w:val="20"/>
                <w:szCs w:val="20"/>
              </w:rPr>
            </w:pPr>
            <w:r w:rsidRPr="0079024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2-я Красина, напротив д. 78, остановочный пункт «Микрорайон Радужный» и город Тверь, ул. Академика Туполева, у д. 109</w:t>
            </w:r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22"/>
              <w:gridCol w:w="2182"/>
            </w:tblGrid>
            <w:tr w:rsidR="0079024E" w:rsidRPr="0079024E" w14:paraId="61E9F3B2" w14:textId="77777777" w:rsidTr="0079024E">
              <w:trPr>
                <w:trHeight w:val="177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80342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79024E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1BB43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79024E" w:rsidRPr="0079024E" w14:paraId="294AAD64" w14:textId="77777777" w:rsidTr="0079024E">
              <w:trPr>
                <w:trHeight w:val="177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36E554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79024E">
                    <w:rPr>
                      <w:sz w:val="20"/>
                      <w:szCs w:val="20"/>
                      <w:lang w:eastAsia="en-US"/>
                    </w:rPr>
                    <w:t>Площадь объекта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08B669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79024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79024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79024E" w:rsidRPr="0079024E" w14:paraId="07B80DAF" w14:textId="77777777" w:rsidTr="0079024E">
              <w:trPr>
                <w:trHeight w:val="177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AA79A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79024E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C835B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79024E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79024E" w:rsidRPr="0079024E" w14:paraId="69254E43" w14:textId="77777777" w:rsidTr="0079024E">
              <w:trPr>
                <w:trHeight w:val="187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F19AF6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79024E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D2A588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79024E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79024E" w:rsidRPr="0079024E" w14:paraId="248F97B4" w14:textId="77777777" w:rsidTr="0079024E">
              <w:trPr>
                <w:trHeight w:val="207"/>
              </w:trPr>
              <w:tc>
                <w:tcPr>
                  <w:tcW w:w="84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3843D8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79024E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79024E" w:rsidRPr="0079024E" w14:paraId="7870D6DA" w14:textId="77777777" w:rsidTr="0079024E">
              <w:trPr>
                <w:trHeight w:val="897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BB8CE3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79024E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18B8A8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79024E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79024E" w:rsidRPr="0079024E" w14:paraId="236A2822" w14:textId="77777777" w:rsidTr="0079024E">
              <w:trPr>
                <w:trHeight w:val="907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F5086" w14:textId="77777777" w:rsidR="0079024E" w:rsidRPr="0079024E" w:rsidRDefault="0079024E" w:rsidP="0079024E">
                  <w:pPr>
                    <w:numPr>
                      <w:ilvl w:val="0"/>
                      <w:numId w:val="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0" w:firstLine="360"/>
                    <w:rPr>
                      <w:sz w:val="20"/>
                      <w:szCs w:val="20"/>
                      <w:lang w:eastAsia="en-US"/>
                    </w:rPr>
                  </w:pPr>
                  <w:r w:rsidRPr="0079024E">
                    <w:rPr>
                      <w:sz w:val="20"/>
                      <w:szCs w:val="20"/>
                      <w:lang w:eastAsia="en-US"/>
                    </w:rPr>
                    <w:t xml:space="preserve">город Тверь, ул. 2-я Красина, напротив д. 78, остановочный пункт «Микрорайон Радужный» (строка 15, </w:t>
                  </w:r>
                  <w:r w:rsidRPr="0079024E">
                    <w:rPr>
                      <w:sz w:val="20"/>
                      <w:szCs w:val="20"/>
                    </w:rPr>
                    <w:t xml:space="preserve">раздел 5 «Схема размещения сезонных объектов» приложения к постановлению Администрации города Твери от 21.05.2024 № 339 «Об утверждении </w:t>
                  </w:r>
                  <w:r w:rsidRPr="0079024E">
                    <w:rPr>
                      <w:sz w:val="20"/>
                      <w:szCs w:val="20"/>
                    </w:rPr>
                    <w:lastRenderedPageBreak/>
                    <w:t>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0EABD" w14:textId="77777777" w:rsidR="0079024E" w:rsidRPr="0079024E" w:rsidRDefault="0079024E" w:rsidP="0079024E">
                  <w:pPr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lastRenderedPageBreak/>
                    <w:t>6590,25 руб.</w:t>
                  </w:r>
                </w:p>
              </w:tc>
            </w:tr>
            <w:tr w:rsidR="0079024E" w:rsidRPr="0079024E" w14:paraId="36BD82DE" w14:textId="77777777" w:rsidTr="0079024E">
              <w:trPr>
                <w:trHeight w:val="552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92612A" w14:textId="77777777" w:rsidR="0079024E" w:rsidRPr="0079024E" w:rsidRDefault="0079024E" w:rsidP="0079024E">
                  <w:pPr>
                    <w:numPr>
                      <w:ilvl w:val="0"/>
                      <w:numId w:val="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0" w:firstLine="360"/>
                    <w:rPr>
                      <w:sz w:val="20"/>
                      <w:szCs w:val="20"/>
                      <w:lang w:eastAsia="en-US"/>
                    </w:rPr>
                  </w:pPr>
                  <w:r w:rsidRPr="0079024E">
                    <w:rPr>
                      <w:sz w:val="20"/>
                      <w:szCs w:val="20"/>
                      <w:lang w:eastAsia="en-US"/>
                    </w:rPr>
                    <w:t xml:space="preserve">город Тверь, ул. Академика Туполева, у д. 109 (строка 16, </w:t>
                  </w:r>
                  <w:r w:rsidRPr="0079024E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666AC" w14:textId="77777777" w:rsidR="0079024E" w:rsidRPr="0079024E" w:rsidRDefault="0079024E" w:rsidP="0079024E">
                  <w:pPr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79024E" w:rsidRPr="0079024E" w14:paraId="3195C59E" w14:textId="77777777" w:rsidTr="0079024E">
              <w:trPr>
                <w:trHeight w:val="47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5242D6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79024E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ACA75" w14:textId="77777777" w:rsidR="0079024E" w:rsidRPr="0079024E" w:rsidRDefault="0079024E" w:rsidP="0079024E">
                  <w:pPr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  <w:tr w:rsidR="0079024E" w:rsidRPr="0079024E" w14:paraId="7C1824C3" w14:textId="77777777" w:rsidTr="0079024E">
              <w:trPr>
                <w:trHeight w:val="177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CB1371" w14:textId="77777777" w:rsidR="0079024E" w:rsidRPr="0079024E" w:rsidRDefault="0079024E" w:rsidP="0079024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79024E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5B61B" w14:textId="77777777" w:rsidR="0079024E" w:rsidRPr="0079024E" w:rsidRDefault="0079024E" w:rsidP="0079024E">
                  <w:pPr>
                    <w:rPr>
                      <w:sz w:val="20"/>
                      <w:szCs w:val="20"/>
                    </w:rPr>
                  </w:pPr>
                  <w:r w:rsidRPr="0079024E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</w:tbl>
          <w:p w14:paraId="37A64A42" w14:textId="77777777" w:rsidR="009E3603" w:rsidRPr="00E862FD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219741" w14:textId="4BCC53D6" w:rsidR="00D75F04" w:rsidRPr="00E862FD" w:rsidRDefault="00754C34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7B93ED65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F704E8" w:rsidRPr="00E862FD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72F25D83" w:rsidR="008D0DF2" w:rsidRPr="00E862FD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54617A">
              <w:rPr>
                <w:b/>
                <w:sz w:val="20"/>
                <w:szCs w:val="20"/>
              </w:rPr>
              <w:t>22.0</w:t>
            </w:r>
            <w:r w:rsidR="00750178" w:rsidRPr="00E862FD">
              <w:rPr>
                <w:b/>
                <w:sz w:val="20"/>
                <w:szCs w:val="20"/>
              </w:rPr>
              <w:t>1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FD0D24" w14:textId="4B2D6FB4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DD30EC">
              <w:rPr>
                <w:bCs/>
                <w:sz w:val="20"/>
                <w:szCs w:val="20"/>
                <w:lang w:eastAsia="en-US"/>
              </w:rPr>
              <w:t>-6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0AF5D643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0A3151B8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 xml:space="preserve">ребования к содержанию, составу заявки 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lastRenderedPageBreak/>
              <w:t>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lastRenderedPageBreak/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15A46321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DD30EC">
              <w:rPr>
                <w:b/>
                <w:bCs/>
                <w:sz w:val="20"/>
                <w:szCs w:val="20"/>
                <w:lang w:eastAsia="en-US"/>
              </w:rPr>
              <w:t>-6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00910A95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1643951C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bCs/>
                <w:sz w:val="20"/>
                <w:szCs w:val="20"/>
                <w:lang w:eastAsia="en-US"/>
              </w:rPr>
              <w:t>-6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="0054617A" w:rsidRPr="00D75280">
              <w:rPr>
                <w:b/>
                <w:sz w:val="20"/>
                <w:szCs w:val="20"/>
              </w:rPr>
              <w:t xml:space="preserve"> 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067B16F2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bCs/>
                <w:sz w:val="20"/>
                <w:szCs w:val="20"/>
                <w:lang w:eastAsia="en-US"/>
              </w:rPr>
              <w:t>-6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rFonts w:eastAsiaTheme="minorHAnsi"/>
                <w:b/>
                <w:sz w:val="20"/>
                <w:szCs w:val="20"/>
                <w:lang w:eastAsia="en-US"/>
              </w:rPr>
              <w:t>19.12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.2025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54617A">
              <w:rPr>
                <w:b/>
                <w:sz w:val="20"/>
                <w:szCs w:val="20"/>
              </w:rPr>
              <w:t>22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33CDD" w14:textId="6F6D49BE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sz w:val="20"/>
                <w:szCs w:val="20"/>
                <w:lang w:eastAsia="en-US"/>
              </w:rPr>
              <w:t>-6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0A61C4">
              <w:rPr>
                <w:b/>
                <w:sz w:val="20"/>
                <w:szCs w:val="20"/>
              </w:rPr>
              <w:t>28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DD8651" w14:textId="4190E2AF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DD30EC" w:rsidRPr="00CD7382">
              <w:rPr>
                <w:bCs/>
                <w:sz w:val="20"/>
                <w:szCs w:val="20"/>
                <w:lang w:eastAsia="en-US"/>
              </w:rPr>
              <w:t>-6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Pr="00CD7382">
              <w:rPr>
                <w:b/>
                <w:sz w:val="20"/>
                <w:szCs w:val="20"/>
              </w:rPr>
              <w:t xml:space="preserve"> </w:t>
            </w:r>
            <w:r w:rsidR="000A61C4">
              <w:rPr>
                <w:b/>
                <w:sz w:val="20"/>
                <w:szCs w:val="20"/>
              </w:rPr>
              <w:t>29</w:t>
            </w:r>
            <w:bookmarkStart w:id="0" w:name="_GoBack"/>
            <w:bookmarkEnd w:id="0"/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CD7382">
              <w:rPr>
                <w:b/>
                <w:sz w:val="20"/>
                <w:szCs w:val="20"/>
              </w:rPr>
              <w:t>0</w:t>
            </w:r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соответствующей требованиям, установленным 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5F2E13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в полном объеме от цены договора с учетом внесенного задатка и должна быть осуществлена на момент заключения Договора.</w:t>
            </w:r>
          </w:p>
          <w:p w14:paraId="107770E9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52B4347D" w:rsidR="00367797" w:rsidRPr="003943B5" w:rsidRDefault="00367797" w:rsidP="00F26A98">
            <w:pPr>
              <w:jc w:val="both"/>
              <w:rPr>
                <w:sz w:val="20"/>
                <w:szCs w:val="20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AE52D" w14:textId="77777777" w:rsidR="00754C34" w:rsidRDefault="00754C34" w:rsidP="0092668E">
      <w:r>
        <w:separator/>
      </w:r>
    </w:p>
  </w:endnote>
  <w:endnote w:type="continuationSeparator" w:id="0">
    <w:p w14:paraId="0F404B6B" w14:textId="77777777" w:rsidR="00754C34" w:rsidRDefault="00754C34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A61C4">
      <w:rPr>
        <w:noProof/>
      </w:rPr>
      <w:t>9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493A1" w14:textId="77777777" w:rsidR="00754C34" w:rsidRDefault="00754C34" w:rsidP="0092668E">
      <w:r>
        <w:separator/>
      </w:r>
    </w:p>
  </w:footnote>
  <w:footnote w:type="continuationSeparator" w:id="0">
    <w:p w14:paraId="72A1A206" w14:textId="77777777" w:rsidR="00754C34" w:rsidRDefault="00754C34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24"/>
  </w:num>
  <w:num w:numId="11">
    <w:abstractNumId w:val="12"/>
  </w:num>
  <w:num w:numId="12">
    <w:abstractNumId w:val="2"/>
  </w:num>
  <w:num w:numId="13">
    <w:abstractNumId w:val="8"/>
  </w:num>
  <w:num w:numId="14">
    <w:abstractNumId w:val="14"/>
  </w:num>
  <w:num w:numId="15">
    <w:abstractNumId w:val="31"/>
  </w:num>
  <w:num w:numId="16">
    <w:abstractNumId w:val="30"/>
  </w:num>
  <w:num w:numId="17">
    <w:abstractNumId w:val="16"/>
  </w:num>
  <w:num w:numId="18">
    <w:abstractNumId w:val="23"/>
  </w:num>
  <w:num w:numId="19">
    <w:abstractNumId w:val="19"/>
  </w:num>
  <w:num w:numId="20">
    <w:abstractNumId w:val="0"/>
  </w:num>
  <w:num w:numId="21">
    <w:abstractNumId w:val="15"/>
  </w:num>
  <w:num w:numId="22">
    <w:abstractNumId w:val="11"/>
  </w:num>
  <w:num w:numId="23">
    <w:abstractNumId w:val="13"/>
  </w:num>
  <w:num w:numId="24">
    <w:abstractNumId w:val="9"/>
  </w:num>
  <w:num w:numId="25">
    <w:abstractNumId w:val="3"/>
  </w:num>
  <w:num w:numId="26">
    <w:abstractNumId w:val="18"/>
  </w:num>
  <w:num w:numId="27">
    <w:abstractNumId w:val="20"/>
  </w:num>
  <w:num w:numId="28">
    <w:abstractNumId w:val="6"/>
  </w:num>
  <w:num w:numId="29">
    <w:abstractNumId w:val="5"/>
  </w:num>
  <w:num w:numId="30">
    <w:abstractNumId w:val="29"/>
  </w:num>
  <w:num w:numId="31">
    <w:abstractNumId w:val="27"/>
  </w:num>
  <w:num w:numId="32">
    <w:abstractNumId w:val="2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851DF"/>
    <w:rsid w:val="000A0264"/>
    <w:rsid w:val="000A61C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6980"/>
    <w:rsid w:val="002B1EC6"/>
    <w:rsid w:val="002B2256"/>
    <w:rsid w:val="002B730B"/>
    <w:rsid w:val="002C0544"/>
    <w:rsid w:val="002C5A4A"/>
    <w:rsid w:val="002D1EC4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4F80"/>
    <w:rsid w:val="0047503A"/>
    <w:rsid w:val="00481C05"/>
    <w:rsid w:val="00485337"/>
    <w:rsid w:val="00485C87"/>
    <w:rsid w:val="00491920"/>
    <w:rsid w:val="004A53EA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4C34"/>
    <w:rsid w:val="00755430"/>
    <w:rsid w:val="00763605"/>
    <w:rsid w:val="00766829"/>
    <w:rsid w:val="007714FE"/>
    <w:rsid w:val="0077732A"/>
    <w:rsid w:val="00782608"/>
    <w:rsid w:val="00784478"/>
    <w:rsid w:val="00787D68"/>
    <w:rsid w:val="0079024E"/>
    <w:rsid w:val="007923C7"/>
    <w:rsid w:val="00793488"/>
    <w:rsid w:val="00793D6C"/>
    <w:rsid w:val="007958B5"/>
    <w:rsid w:val="007970CF"/>
    <w:rsid w:val="007A21AC"/>
    <w:rsid w:val="007A3718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75AD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FA4"/>
    <w:rsid w:val="00B3743F"/>
    <w:rsid w:val="00B40694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633FF-D24B-493B-A357-9C25CB2F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4606</Words>
  <Characters>26259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54</cp:revision>
  <cp:lastPrinted>2025-10-15T07:02:00Z</cp:lastPrinted>
  <dcterms:created xsi:type="dcterms:W3CDTF">2023-10-20T08:49:00Z</dcterms:created>
  <dcterms:modified xsi:type="dcterms:W3CDTF">2025-12-15T13:01:00Z</dcterms:modified>
</cp:coreProperties>
</file>